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2C558159"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60374">
              <w:rPr>
                <w:rFonts w:ascii="Times New Roman" w:hAnsi="Times New Roman" w:cs="Times New Roman"/>
                <w:b/>
                <w:color w:val="auto"/>
                <w:sz w:val="22"/>
                <w:szCs w:val="22"/>
              </w:rPr>
              <w:t>y</w:t>
            </w:r>
            <w:r w:rsidR="00611FD6">
              <w:rPr>
                <w:rFonts w:ascii="Times New Roman" w:hAnsi="Times New Roman" w:cs="Times New Roman"/>
                <w:b/>
                <w:color w:val="auto"/>
                <w:sz w:val="22"/>
                <w:szCs w:val="22"/>
              </w:rPr>
              <w:t xml:space="preserve"> </w:t>
            </w:r>
            <w:r w:rsidR="00DC5545">
              <w:rPr>
                <w:rFonts w:ascii="Times New Roman" w:hAnsi="Times New Roman" w:cs="Times New Roman"/>
                <w:b/>
                <w:color w:val="auto"/>
                <w:sz w:val="22"/>
                <w:szCs w:val="22"/>
              </w:rPr>
              <w:t>3</w:t>
            </w:r>
            <w:r w:rsidR="00DC5545" w:rsidRPr="00DC5545">
              <w:rPr>
                <w:rFonts w:ascii="Times New Roman" w:hAnsi="Times New Roman" w:cs="Times New Roman"/>
                <w:b/>
                <w:color w:val="auto"/>
                <w:sz w:val="22"/>
                <w:szCs w:val="22"/>
                <w:vertAlign w:val="superscript"/>
              </w:rPr>
              <w:t>rd</w:t>
            </w:r>
            <w:r w:rsidR="00DC5545">
              <w:rPr>
                <w:rFonts w:ascii="Times New Roman" w:hAnsi="Times New Roman" w:cs="Times New Roman"/>
                <w:b/>
                <w:color w:val="auto"/>
                <w:sz w:val="22"/>
                <w:szCs w:val="22"/>
              </w:rPr>
              <w:t xml:space="preserve"> February 2021</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0F7FD781"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w:t>
            </w:r>
            <w:r w:rsidR="00D60374">
              <w:rPr>
                <w:sz w:val="22"/>
                <w:szCs w:val="22"/>
              </w:rPr>
              <w:t xml:space="preserve">, </w:t>
            </w:r>
            <w:r w:rsidR="00F64C16">
              <w:rPr>
                <w:sz w:val="22"/>
                <w:szCs w:val="22"/>
              </w:rPr>
              <w:t>Jessica Kitt</w:t>
            </w:r>
            <w:r w:rsidR="008175D5">
              <w:rPr>
                <w:sz w:val="22"/>
                <w:szCs w:val="22"/>
              </w:rPr>
              <w:t>, Emily Williams</w:t>
            </w:r>
            <w:r w:rsidR="00611FD6">
              <w:rPr>
                <w:sz w:val="22"/>
                <w:szCs w:val="22"/>
              </w:rPr>
              <w:t xml:space="preserve">, </w:t>
            </w:r>
            <w:r w:rsidR="009A35B5">
              <w:rPr>
                <w:sz w:val="22"/>
                <w:szCs w:val="22"/>
              </w:rPr>
              <w:t>William Neale, Tessa Pleasants</w:t>
            </w:r>
            <w:r w:rsidR="007D715E">
              <w:rPr>
                <w:sz w:val="22"/>
                <w:szCs w:val="22"/>
              </w:rPr>
              <w:t>, Keith Long</w:t>
            </w:r>
          </w:p>
          <w:p w14:paraId="57BA9697" w14:textId="1A0B53B5" w:rsidR="00DB5824" w:rsidRDefault="007841E1" w:rsidP="008303ED">
            <w:pPr>
              <w:tabs>
                <w:tab w:val="left" w:pos="1260"/>
              </w:tabs>
              <w:rPr>
                <w:sz w:val="22"/>
                <w:szCs w:val="22"/>
              </w:rPr>
            </w:pPr>
            <w:r w:rsidRPr="00AF706D">
              <w:rPr>
                <w:sz w:val="22"/>
                <w:szCs w:val="22"/>
              </w:rPr>
              <w:t>District Cll</w:t>
            </w:r>
            <w:r w:rsidR="006E07ED" w:rsidRPr="00AF706D">
              <w:rPr>
                <w:sz w:val="22"/>
                <w:szCs w:val="22"/>
              </w:rPr>
              <w:t>r Claire Daunton</w:t>
            </w:r>
          </w:p>
          <w:p w14:paraId="0ED3941A" w14:textId="1902B6EA" w:rsidR="008175D5" w:rsidRPr="00AF706D" w:rsidRDefault="008175D5" w:rsidP="008303ED">
            <w:pPr>
              <w:tabs>
                <w:tab w:val="left" w:pos="1260"/>
              </w:tabs>
              <w:rPr>
                <w:sz w:val="22"/>
                <w:szCs w:val="22"/>
              </w:rPr>
            </w:pPr>
            <w:r>
              <w:rPr>
                <w:sz w:val="22"/>
                <w:szCs w:val="22"/>
              </w:rPr>
              <w:t>Anna Bradnam</w:t>
            </w:r>
          </w:p>
          <w:p w14:paraId="223A6DCF" w14:textId="7DA398FC" w:rsidR="003F7653" w:rsidRPr="00AF706D" w:rsidRDefault="003F7653" w:rsidP="009622A0">
            <w:pPr>
              <w:tabs>
                <w:tab w:val="left" w:pos="1260"/>
              </w:tabs>
              <w:rPr>
                <w:sz w:val="22"/>
                <w:szCs w:val="22"/>
              </w:rPr>
            </w:pP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06EA10A1" w14:textId="2EAF5179" w:rsidR="00922C5A" w:rsidRPr="00922C5A" w:rsidRDefault="00D60374" w:rsidP="008175D5">
            <w:pPr>
              <w:jc w:val="both"/>
              <w:rPr>
                <w:sz w:val="22"/>
                <w:szCs w:val="22"/>
              </w:rPr>
            </w:pPr>
            <w:r>
              <w:rPr>
                <w:sz w:val="22"/>
                <w:szCs w:val="22"/>
              </w:rPr>
              <w:t>None</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1EF02873" w:rsidR="00E328E5" w:rsidRPr="00AF706D" w:rsidRDefault="009622A0" w:rsidP="00DB5824">
            <w:pPr>
              <w:rPr>
                <w:rFonts w:ascii="Book Antiqua" w:hAnsi="Book Antiqua"/>
                <w:sz w:val="20"/>
                <w:szCs w:val="20"/>
              </w:rPr>
            </w:pPr>
            <w:r>
              <w:rPr>
                <w:rFonts w:ascii="Book Antiqua" w:hAnsi="Book Antiqua"/>
                <w:sz w:val="20"/>
                <w:szCs w:val="20"/>
              </w:rPr>
              <w:t>91</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77B2E4E" w14:textId="65F7FB1D" w:rsidR="00D60374" w:rsidRPr="003F7653" w:rsidRDefault="003F7653" w:rsidP="00E03830">
            <w:pPr>
              <w:rPr>
                <w:bCs/>
                <w:sz w:val="22"/>
                <w:szCs w:val="22"/>
              </w:rPr>
            </w:pPr>
            <w:r w:rsidRPr="003F7653">
              <w:rPr>
                <w:bCs/>
                <w:sz w:val="22"/>
                <w:szCs w:val="22"/>
              </w:rPr>
              <w:t>Michael Gingel</w:t>
            </w:r>
            <w:r w:rsidR="007D715E">
              <w:rPr>
                <w:bCs/>
                <w:sz w:val="22"/>
                <w:szCs w:val="22"/>
              </w:rPr>
              <w:t>l</w:t>
            </w:r>
            <w:r w:rsidR="009622A0">
              <w:rPr>
                <w:bCs/>
                <w:sz w:val="22"/>
                <w:szCs w:val="22"/>
              </w:rPr>
              <w:t xml:space="preserve">, </w:t>
            </w:r>
            <w:r w:rsidR="009622A0">
              <w:rPr>
                <w:sz w:val="22"/>
                <w:szCs w:val="22"/>
              </w:rPr>
              <w:t>Tessa Pleasants, Keith Long</w:t>
            </w:r>
            <w:r w:rsidR="009622A0">
              <w:rPr>
                <w:sz w:val="22"/>
                <w:szCs w:val="22"/>
              </w:rPr>
              <w:t>, Hayley Livermore</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4EB4ADCE" w:rsidR="00FE4214" w:rsidRPr="00AF706D" w:rsidRDefault="009622A0" w:rsidP="0022033F">
            <w:pPr>
              <w:rPr>
                <w:rFonts w:ascii="Book Antiqua" w:hAnsi="Book Antiqua"/>
                <w:sz w:val="20"/>
                <w:szCs w:val="20"/>
              </w:rPr>
            </w:pPr>
            <w:r>
              <w:rPr>
                <w:rFonts w:ascii="Book Antiqua" w:hAnsi="Book Antiqua"/>
                <w:sz w:val="20"/>
                <w:szCs w:val="20"/>
              </w:rPr>
              <w:t>92</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1F28C5B9" w14:textId="77777777" w:rsidR="009622A0" w:rsidRPr="009622A0" w:rsidRDefault="009622A0" w:rsidP="009622A0">
            <w:pPr>
              <w:pStyle w:val="TableStyle2"/>
              <w:rPr>
                <w:rFonts w:ascii="Times New Roman" w:hAnsi="Times New Roman" w:cs="Times New Roman"/>
                <w:color w:val="auto"/>
                <w:sz w:val="22"/>
                <w:szCs w:val="22"/>
              </w:rPr>
            </w:pPr>
            <w:r w:rsidRPr="009622A0">
              <w:rPr>
                <w:rFonts w:ascii="Times New Roman" w:hAnsi="Times New Roman" w:cs="Times New Roman"/>
                <w:color w:val="auto"/>
                <w:sz w:val="22"/>
                <w:szCs w:val="22"/>
              </w:rPr>
              <w:t>Emily Williams for site JDI 40113 – Neighbouring property</w:t>
            </w:r>
          </w:p>
          <w:p w14:paraId="14944BF8" w14:textId="7A360EFD" w:rsidR="00A548A7" w:rsidRPr="009622A0" w:rsidRDefault="009622A0" w:rsidP="009622A0">
            <w:pPr>
              <w:pStyle w:val="TableStyle2"/>
              <w:rPr>
                <w:rFonts w:ascii="Times New Roman" w:hAnsi="Times New Roman" w:cs="Times New Roman"/>
                <w:color w:val="auto"/>
                <w:sz w:val="22"/>
                <w:szCs w:val="22"/>
              </w:rPr>
            </w:pPr>
            <w:r w:rsidRPr="009622A0">
              <w:rPr>
                <w:rFonts w:ascii="Times New Roman" w:hAnsi="Times New Roman" w:cs="Times New Roman"/>
                <w:color w:val="auto"/>
                <w:sz w:val="22"/>
                <w:szCs w:val="22"/>
              </w:rPr>
              <w:t>Jessica Kitt for site JDI 40137 – Opposite property</w:t>
            </w: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23412303" w:rsidR="00C33E09" w:rsidRPr="00AF706D" w:rsidRDefault="009622A0" w:rsidP="0022033F">
            <w:pPr>
              <w:rPr>
                <w:rFonts w:ascii="Book Antiqua" w:hAnsi="Book Antiqua"/>
                <w:sz w:val="20"/>
                <w:szCs w:val="20"/>
              </w:rPr>
            </w:pPr>
            <w:r>
              <w:rPr>
                <w:rFonts w:ascii="Book Antiqua" w:hAnsi="Book Antiqua"/>
                <w:sz w:val="20"/>
                <w:szCs w:val="20"/>
              </w:rPr>
              <w:t>93/20-21</w:t>
            </w:r>
          </w:p>
        </w:tc>
        <w:tc>
          <w:tcPr>
            <w:tcW w:w="6079" w:type="dxa"/>
          </w:tcPr>
          <w:p w14:paraId="62112B3E" w14:textId="77777777" w:rsidR="002714CC" w:rsidRDefault="009622A0" w:rsidP="005841F2">
            <w:pPr>
              <w:rPr>
                <w:b/>
                <w:bCs/>
                <w:sz w:val="22"/>
                <w:szCs w:val="22"/>
              </w:rPr>
            </w:pPr>
            <w:r w:rsidRPr="009622A0">
              <w:rPr>
                <w:b/>
                <w:bCs/>
                <w:sz w:val="22"/>
                <w:szCs w:val="22"/>
              </w:rPr>
              <w:t>To discuss response to proposed sites in Horningsea under the SCDC ‘Call for sites’</w:t>
            </w:r>
          </w:p>
          <w:p w14:paraId="7F583A31" w14:textId="77777777" w:rsidR="009622A0" w:rsidRDefault="009622A0" w:rsidP="005841F2">
            <w:pPr>
              <w:rPr>
                <w:b/>
                <w:bCs/>
                <w:sz w:val="22"/>
                <w:szCs w:val="22"/>
              </w:rPr>
            </w:pPr>
          </w:p>
          <w:p w14:paraId="2B51272D" w14:textId="77777777" w:rsidR="009622A0" w:rsidRPr="009622A0" w:rsidRDefault="009622A0" w:rsidP="009622A0">
            <w:pPr>
              <w:rPr>
                <w:b/>
                <w:bCs/>
                <w:sz w:val="22"/>
                <w:szCs w:val="22"/>
              </w:rPr>
            </w:pPr>
          </w:p>
          <w:p w14:paraId="6358B5D9" w14:textId="77777777" w:rsidR="009622A0" w:rsidRPr="009622A0" w:rsidRDefault="009622A0" w:rsidP="009622A0">
            <w:pPr>
              <w:rPr>
                <w:b/>
                <w:bCs/>
                <w:sz w:val="22"/>
                <w:szCs w:val="22"/>
              </w:rPr>
            </w:pPr>
            <w:r w:rsidRPr="009622A0">
              <w:rPr>
                <w:b/>
                <w:bCs/>
                <w:sz w:val="22"/>
                <w:szCs w:val="22"/>
              </w:rPr>
              <w:t>Response applicable to all sites</w:t>
            </w:r>
          </w:p>
          <w:p w14:paraId="5D453121" w14:textId="77777777" w:rsidR="009622A0" w:rsidRPr="009622A0" w:rsidRDefault="009622A0" w:rsidP="009622A0">
            <w:pPr>
              <w:rPr>
                <w:sz w:val="22"/>
                <w:szCs w:val="22"/>
              </w:rPr>
            </w:pPr>
            <w:r w:rsidRPr="009622A0">
              <w:rPr>
                <w:sz w:val="22"/>
                <w:szCs w:val="22"/>
              </w:rPr>
              <w:t>Green belt should be protected.</w:t>
            </w:r>
          </w:p>
          <w:p w14:paraId="427A9D06" w14:textId="77777777" w:rsidR="009622A0" w:rsidRPr="009622A0" w:rsidRDefault="009622A0" w:rsidP="009622A0">
            <w:pPr>
              <w:rPr>
                <w:sz w:val="22"/>
                <w:szCs w:val="22"/>
              </w:rPr>
            </w:pPr>
          </w:p>
          <w:p w14:paraId="74E6C771" w14:textId="77777777" w:rsidR="009622A0" w:rsidRPr="009622A0" w:rsidRDefault="009622A0" w:rsidP="009622A0">
            <w:pPr>
              <w:rPr>
                <w:b/>
                <w:bCs/>
                <w:sz w:val="22"/>
                <w:szCs w:val="22"/>
              </w:rPr>
            </w:pPr>
          </w:p>
          <w:p w14:paraId="547E3934" w14:textId="77777777" w:rsidR="009622A0" w:rsidRPr="009622A0" w:rsidRDefault="009622A0" w:rsidP="009622A0">
            <w:pPr>
              <w:rPr>
                <w:b/>
                <w:bCs/>
                <w:sz w:val="22"/>
                <w:szCs w:val="22"/>
              </w:rPr>
            </w:pPr>
            <w:r w:rsidRPr="009622A0">
              <w:rPr>
                <w:b/>
                <w:bCs/>
                <w:sz w:val="22"/>
                <w:szCs w:val="22"/>
              </w:rPr>
              <w:t>Response to JDI 40113</w:t>
            </w:r>
          </w:p>
          <w:p w14:paraId="0965632D" w14:textId="0A5359F0" w:rsidR="009622A0" w:rsidRPr="009622A0" w:rsidRDefault="009622A0" w:rsidP="009622A0">
            <w:pPr>
              <w:rPr>
                <w:sz w:val="22"/>
                <w:szCs w:val="22"/>
              </w:rPr>
            </w:pPr>
            <w:r w:rsidRPr="009622A0">
              <w:rPr>
                <w:sz w:val="22"/>
                <w:szCs w:val="22"/>
              </w:rPr>
              <w:t>We currently have issues with traffic volumes and increased business</w:t>
            </w:r>
            <w:r w:rsidRPr="009622A0">
              <w:rPr>
                <w:sz w:val="22"/>
                <w:szCs w:val="22"/>
              </w:rPr>
              <w:t xml:space="preserve"> and increased deliveries</w:t>
            </w:r>
            <w:r w:rsidRPr="009622A0">
              <w:rPr>
                <w:sz w:val="22"/>
                <w:szCs w:val="22"/>
              </w:rPr>
              <w:t xml:space="preserve"> would make this worse. </w:t>
            </w:r>
          </w:p>
          <w:p w14:paraId="119A5C50" w14:textId="77777777" w:rsidR="009622A0" w:rsidRPr="009622A0" w:rsidRDefault="009622A0" w:rsidP="009622A0">
            <w:pPr>
              <w:rPr>
                <w:sz w:val="22"/>
                <w:szCs w:val="22"/>
              </w:rPr>
            </w:pPr>
            <w:r w:rsidRPr="009622A0">
              <w:rPr>
                <w:sz w:val="22"/>
                <w:szCs w:val="22"/>
              </w:rPr>
              <w:t>The Horningsea Parish Council does not support releasing the land from the green belt. There is significant wildlife on the fields. For example: A resident kestrel.</w:t>
            </w:r>
          </w:p>
          <w:p w14:paraId="69D42DEB" w14:textId="3AADF9F8" w:rsidR="009622A0" w:rsidRPr="009622A0" w:rsidRDefault="009622A0" w:rsidP="009622A0">
            <w:pPr>
              <w:rPr>
                <w:sz w:val="22"/>
                <w:szCs w:val="22"/>
              </w:rPr>
            </w:pPr>
            <w:r w:rsidRPr="009622A0">
              <w:rPr>
                <w:sz w:val="22"/>
                <w:szCs w:val="22"/>
              </w:rPr>
              <w:t>Accessing the site with extra offices through the existing entrance will be difficult and create too many traffic bottle</w:t>
            </w:r>
            <w:r w:rsidRPr="009622A0">
              <w:rPr>
                <w:sz w:val="22"/>
                <w:szCs w:val="22"/>
              </w:rPr>
              <w:t>-</w:t>
            </w:r>
            <w:r w:rsidRPr="009622A0">
              <w:rPr>
                <w:sz w:val="22"/>
                <w:szCs w:val="22"/>
              </w:rPr>
              <w:t xml:space="preserve"> necks.</w:t>
            </w:r>
          </w:p>
          <w:p w14:paraId="0BF28DCE" w14:textId="77777777" w:rsidR="009622A0" w:rsidRPr="009622A0" w:rsidRDefault="009622A0" w:rsidP="009622A0">
            <w:pPr>
              <w:rPr>
                <w:sz w:val="22"/>
                <w:szCs w:val="22"/>
              </w:rPr>
            </w:pPr>
            <w:r w:rsidRPr="009622A0">
              <w:rPr>
                <w:sz w:val="22"/>
                <w:szCs w:val="22"/>
              </w:rPr>
              <w:t>There are not enough public services (buses) to take workers to site.</w:t>
            </w:r>
          </w:p>
          <w:p w14:paraId="7336CDDB" w14:textId="77777777" w:rsidR="009622A0" w:rsidRPr="009622A0" w:rsidRDefault="009622A0" w:rsidP="009622A0">
            <w:pPr>
              <w:rPr>
                <w:sz w:val="22"/>
                <w:szCs w:val="22"/>
              </w:rPr>
            </w:pPr>
            <w:r w:rsidRPr="009622A0">
              <w:rPr>
                <w:sz w:val="22"/>
                <w:szCs w:val="22"/>
              </w:rPr>
              <w:t>Horningsea (High Street) is a conservation area. The site immediately adjoins it.</w:t>
            </w:r>
          </w:p>
          <w:p w14:paraId="18844957" w14:textId="77777777" w:rsidR="009622A0" w:rsidRPr="009622A0" w:rsidRDefault="009622A0" w:rsidP="009622A0">
            <w:pPr>
              <w:rPr>
                <w:sz w:val="22"/>
                <w:szCs w:val="22"/>
              </w:rPr>
            </w:pPr>
            <w:r w:rsidRPr="009622A0">
              <w:rPr>
                <w:sz w:val="22"/>
                <w:szCs w:val="22"/>
              </w:rPr>
              <w:t>Change of use of this area could mean that in the event of the garden centre vacating the site, another business could occupy the site and change the nature of the site negatively for the village.</w:t>
            </w:r>
          </w:p>
          <w:p w14:paraId="25FE4EF9" w14:textId="77777777" w:rsidR="009622A0" w:rsidRPr="009622A0" w:rsidRDefault="009622A0" w:rsidP="009622A0">
            <w:pPr>
              <w:rPr>
                <w:sz w:val="22"/>
                <w:szCs w:val="22"/>
              </w:rPr>
            </w:pPr>
            <w:r w:rsidRPr="009622A0">
              <w:rPr>
                <w:sz w:val="22"/>
                <w:szCs w:val="22"/>
              </w:rPr>
              <w:t>For reference we would bring your attention to the refusal of planning permission on retrospective planning that was entered by Scotsdales in 2015. S/1820/15/FL (form 5).</w:t>
            </w:r>
          </w:p>
          <w:p w14:paraId="28285B0F" w14:textId="77777777" w:rsidR="009622A0" w:rsidRPr="009622A0" w:rsidRDefault="009622A0" w:rsidP="009622A0">
            <w:pPr>
              <w:rPr>
                <w:b/>
                <w:bCs/>
                <w:sz w:val="22"/>
                <w:szCs w:val="22"/>
              </w:rPr>
            </w:pPr>
          </w:p>
          <w:p w14:paraId="2F3A158F" w14:textId="77777777" w:rsidR="009622A0" w:rsidRPr="009622A0" w:rsidRDefault="009622A0" w:rsidP="009622A0">
            <w:pPr>
              <w:rPr>
                <w:b/>
                <w:bCs/>
                <w:sz w:val="22"/>
                <w:szCs w:val="22"/>
              </w:rPr>
            </w:pPr>
            <w:r w:rsidRPr="009622A0">
              <w:rPr>
                <w:b/>
                <w:bCs/>
                <w:sz w:val="22"/>
                <w:szCs w:val="22"/>
              </w:rPr>
              <w:t>Response to JDI 40137</w:t>
            </w:r>
          </w:p>
          <w:p w14:paraId="3D77B9C8" w14:textId="77777777" w:rsidR="008F0345" w:rsidRPr="008F0345" w:rsidRDefault="009622A0" w:rsidP="009622A0">
            <w:pPr>
              <w:rPr>
                <w:sz w:val="22"/>
                <w:szCs w:val="22"/>
              </w:rPr>
            </w:pPr>
            <w:r w:rsidRPr="008F0345">
              <w:rPr>
                <w:sz w:val="22"/>
                <w:szCs w:val="22"/>
              </w:rPr>
              <w:t>With minimal public services like buses, a new development (especially affordable housing) could mean that there is a more demand for a bus service. This is not currently available.</w:t>
            </w:r>
          </w:p>
          <w:p w14:paraId="3A32A6DD" w14:textId="0A8D56EF" w:rsidR="009622A0" w:rsidRPr="009622A0" w:rsidRDefault="008F0345" w:rsidP="009622A0">
            <w:pPr>
              <w:rPr>
                <w:b/>
                <w:bCs/>
                <w:sz w:val="22"/>
                <w:szCs w:val="22"/>
              </w:rPr>
            </w:pPr>
            <w:r w:rsidRPr="008F0345">
              <w:rPr>
                <w:sz w:val="22"/>
                <w:szCs w:val="22"/>
              </w:rPr>
              <w:lastRenderedPageBreak/>
              <w:t>Low density housing</w:t>
            </w:r>
            <w:r w:rsidR="009622A0" w:rsidRPr="008F0345">
              <w:rPr>
                <w:sz w:val="22"/>
                <w:szCs w:val="22"/>
              </w:rPr>
              <w:t xml:space="preserve"> would be appropriate for this site</w:t>
            </w:r>
            <w:r w:rsidRPr="008F0345">
              <w:rPr>
                <w:sz w:val="22"/>
                <w:szCs w:val="22"/>
              </w:rPr>
              <w:t>, a</w:t>
            </w:r>
            <w:r w:rsidR="009622A0" w:rsidRPr="008F0345">
              <w:rPr>
                <w:sz w:val="22"/>
                <w:szCs w:val="22"/>
              </w:rPr>
              <w:t>s long as we can safeguard that the character of the village is reflected</w:t>
            </w:r>
            <w:r w:rsidRPr="008F0345">
              <w:rPr>
                <w:sz w:val="22"/>
                <w:szCs w:val="22"/>
              </w:rPr>
              <w:t xml:space="preserve"> in any new development</w:t>
            </w:r>
            <w:r w:rsidR="009622A0" w:rsidRPr="008F0345">
              <w:rPr>
                <w:sz w:val="22"/>
                <w:szCs w:val="22"/>
              </w:rPr>
              <w:t>.</w:t>
            </w:r>
            <w:r w:rsidRPr="008F0345">
              <w:rPr>
                <w:sz w:val="22"/>
                <w:szCs w:val="22"/>
              </w:rPr>
              <w:t xml:space="preserve"> </w:t>
            </w:r>
            <w:r w:rsidR="009622A0" w:rsidRPr="008F0345">
              <w:rPr>
                <w:sz w:val="22"/>
                <w:szCs w:val="22"/>
              </w:rPr>
              <w:t>If more houses encourage better amenities in the village, this infill development could work.</w:t>
            </w:r>
            <w:r w:rsidR="009622A0" w:rsidRPr="008F0345">
              <w:rPr>
                <w:sz w:val="22"/>
                <w:szCs w:val="22"/>
              </w:rPr>
              <w:t xml:space="preserve"> </w:t>
            </w:r>
            <w:r w:rsidR="009622A0" w:rsidRPr="008F0345">
              <w:rPr>
                <w:sz w:val="22"/>
                <w:szCs w:val="22"/>
              </w:rPr>
              <w:t>A development in this area would need to be included in the conservation area and reflect the local vernacular</w:t>
            </w:r>
            <w:r w:rsidR="009622A0" w:rsidRPr="009622A0">
              <w:rPr>
                <w:b/>
                <w:bCs/>
                <w:sz w:val="22"/>
                <w:szCs w:val="22"/>
              </w:rPr>
              <w:t>.</w:t>
            </w:r>
          </w:p>
          <w:p w14:paraId="443842E7" w14:textId="77777777" w:rsidR="009622A0" w:rsidRPr="009622A0" w:rsidRDefault="009622A0" w:rsidP="009622A0">
            <w:pPr>
              <w:rPr>
                <w:b/>
                <w:bCs/>
                <w:sz w:val="22"/>
                <w:szCs w:val="22"/>
              </w:rPr>
            </w:pPr>
          </w:p>
          <w:p w14:paraId="3D6B70DC" w14:textId="77777777" w:rsidR="009622A0" w:rsidRPr="009622A0" w:rsidRDefault="009622A0" w:rsidP="009622A0">
            <w:pPr>
              <w:rPr>
                <w:b/>
                <w:bCs/>
                <w:sz w:val="22"/>
                <w:szCs w:val="22"/>
              </w:rPr>
            </w:pPr>
            <w:r w:rsidRPr="009622A0">
              <w:rPr>
                <w:b/>
                <w:bCs/>
                <w:sz w:val="22"/>
                <w:szCs w:val="22"/>
              </w:rPr>
              <w:t>Response to JDI 40482</w:t>
            </w:r>
          </w:p>
          <w:p w14:paraId="5DD572B3" w14:textId="5991FB28" w:rsidR="009622A0" w:rsidRPr="009622A0" w:rsidRDefault="009622A0" w:rsidP="009622A0">
            <w:pPr>
              <w:rPr>
                <w:sz w:val="22"/>
                <w:szCs w:val="22"/>
              </w:rPr>
            </w:pPr>
            <w:r w:rsidRPr="009622A0">
              <w:rPr>
                <w:sz w:val="22"/>
                <w:szCs w:val="22"/>
              </w:rPr>
              <w:t xml:space="preserve">20 dwellings on a </w:t>
            </w:r>
            <w:r w:rsidRPr="009622A0">
              <w:rPr>
                <w:sz w:val="22"/>
                <w:szCs w:val="22"/>
              </w:rPr>
              <w:t>4-hectare</w:t>
            </w:r>
            <w:r w:rsidRPr="009622A0">
              <w:rPr>
                <w:sz w:val="22"/>
                <w:szCs w:val="22"/>
              </w:rPr>
              <w:t xml:space="preserve"> site seems low. </w:t>
            </w:r>
            <w:r w:rsidRPr="009622A0">
              <w:rPr>
                <w:sz w:val="22"/>
                <w:szCs w:val="22"/>
              </w:rPr>
              <w:t>Query is</w:t>
            </w:r>
            <w:r w:rsidRPr="009622A0">
              <w:rPr>
                <w:sz w:val="22"/>
                <w:szCs w:val="22"/>
              </w:rPr>
              <w:t xml:space="preserve"> this correct</w:t>
            </w:r>
            <w:r w:rsidRPr="009622A0">
              <w:rPr>
                <w:sz w:val="22"/>
                <w:szCs w:val="22"/>
              </w:rPr>
              <w:t>?</w:t>
            </w:r>
          </w:p>
          <w:p w14:paraId="609E2181" w14:textId="617B70AF" w:rsidR="009622A0" w:rsidRPr="009622A0" w:rsidRDefault="009622A0" w:rsidP="009622A0">
            <w:pPr>
              <w:rPr>
                <w:sz w:val="22"/>
                <w:szCs w:val="22"/>
              </w:rPr>
            </w:pPr>
            <w:r w:rsidRPr="009622A0">
              <w:rPr>
                <w:sz w:val="22"/>
                <w:szCs w:val="22"/>
              </w:rPr>
              <w:t>Extension of the village framework in this way is not acceptable. The current village framework is approx. 22 hectares in size. This means that the village framework would be increase</w:t>
            </w:r>
            <w:r w:rsidRPr="009622A0">
              <w:rPr>
                <w:sz w:val="22"/>
                <w:szCs w:val="22"/>
              </w:rPr>
              <w:t>d</w:t>
            </w:r>
            <w:r w:rsidRPr="009622A0">
              <w:rPr>
                <w:sz w:val="22"/>
                <w:szCs w:val="22"/>
              </w:rPr>
              <w:t xml:space="preserve"> by 25%.</w:t>
            </w:r>
          </w:p>
          <w:p w14:paraId="2D7841F5" w14:textId="5B2DF883" w:rsidR="009622A0" w:rsidRPr="009622A0" w:rsidRDefault="009622A0" w:rsidP="009622A0">
            <w:pPr>
              <w:rPr>
                <w:sz w:val="22"/>
                <w:szCs w:val="22"/>
              </w:rPr>
            </w:pPr>
            <w:r w:rsidRPr="009622A0">
              <w:rPr>
                <w:sz w:val="22"/>
                <w:szCs w:val="22"/>
              </w:rPr>
              <w:t>The size of a development like this would mean a possible increase of the population that the village cannot practically cope with. There aren’t any schools, doctor</w:t>
            </w:r>
            <w:r>
              <w:rPr>
                <w:sz w:val="22"/>
                <w:szCs w:val="22"/>
              </w:rPr>
              <w:t>’</w:t>
            </w:r>
            <w:r w:rsidRPr="009622A0">
              <w:rPr>
                <w:sz w:val="22"/>
                <w:szCs w:val="22"/>
              </w:rPr>
              <w:t>s surgeries, post offices, shops etc.</w:t>
            </w:r>
          </w:p>
          <w:p w14:paraId="798723A6" w14:textId="28821F11" w:rsidR="009622A0" w:rsidRPr="009622A0" w:rsidRDefault="009622A0" w:rsidP="009622A0">
            <w:pPr>
              <w:rPr>
                <w:sz w:val="22"/>
                <w:szCs w:val="22"/>
              </w:rPr>
            </w:pPr>
            <w:r w:rsidRPr="009622A0">
              <w:rPr>
                <w:sz w:val="22"/>
                <w:szCs w:val="22"/>
              </w:rPr>
              <w:t xml:space="preserve">20 dwellings is too much to </w:t>
            </w:r>
            <w:r w:rsidRPr="009622A0">
              <w:rPr>
                <w:sz w:val="22"/>
                <w:szCs w:val="22"/>
              </w:rPr>
              <w:t xml:space="preserve">increase the village by, </w:t>
            </w:r>
            <w:r w:rsidRPr="009622A0">
              <w:rPr>
                <w:sz w:val="22"/>
                <w:szCs w:val="22"/>
              </w:rPr>
              <w:t>given that the village is only 130 dwellings at the moment.</w:t>
            </w:r>
          </w:p>
          <w:p w14:paraId="506F9ABA" w14:textId="77777777" w:rsidR="009622A0" w:rsidRPr="009622A0" w:rsidRDefault="009622A0" w:rsidP="009622A0">
            <w:pPr>
              <w:rPr>
                <w:sz w:val="22"/>
                <w:szCs w:val="22"/>
              </w:rPr>
            </w:pPr>
            <w:r w:rsidRPr="009622A0">
              <w:rPr>
                <w:sz w:val="22"/>
                <w:szCs w:val="22"/>
              </w:rPr>
              <w:t>The site is very close to the proposed new Cambridge Waste Water Treatment Plant.</w:t>
            </w:r>
          </w:p>
          <w:p w14:paraId="648FC27C" w14:textId="77777777" w:rsidR="009622A0" w:rsidRPr="009622A0" w:rsidRDefault="009622A0" w:rsidP="009622A0">
            <w:pPr>
              <w:rPr>
                <w:sz w:val="22"/>
                <w:szCs w:val="22"/>
              </w:rPr>
            </w:pPr>
            <w:r w:rsidRPr="009622A0">
              <w:rPr>
                <w:sz w:val="22"/>
                <w:szCs w:val="22"/>
              </w:rPr>
              <w:t>We would suggest that this area is used as a nature buffer for the village and that the greenbelt is protected.</w:t>
            </w:r>
          </w:p>
          <w:p w14:paraId="7A2504FB" w14:textId="77777777" w:rsidR="009622A0" w:rsidRPr="009622A0" w:rsidRDefault="009622A0" w:rsidP="009622A0">
            <w:pPr>
              <w:rPr>
                <w:b/>
                <w:bCs/>
                <w:sz w:val="22"/>
                <w:szCs w:val="22"/>
              </w:rPr>
            </w:pPr>
          </w:p>
          <w:p w14:paraId="793D0DA3" w14:textId="77777777" w:rsidR="009622A0" w:rsidRPr="009622A0" w:rsidRDefault="009622A0" w:rsidP="009622A0">
            <w:pPr>
              <w:rPr>
                <w:b/>
                <w:bCs/>
                <w:sz w:val="22"/>
                <w:szCs w:val="22"/>
              </w:rPr>
            </w:pPr>
            <w:r w:rsidRPr="009622A0">
              <w:rPr>
                <w:b/>
                <w:bCs/>
                <w:sz w:val="22"/>
                <w:szCs w:val="22"/>
              </w:rPr>
              <w:t>Response to JDI 47647, JDI 40406, JDI 40516</w:t>
            </w:r>
          </w:p>
          <w:p w14:paraId="36411B2E" w14:textId="4C2C80E8" w:rsidR="009622A0" w:rsidRPr="009622A0" w:rsidRDefault="009622A0" w:rsidP="009622A0">
            <w:pPr>
              <w:rPr>
                <w:sz w:val="22"/>
                <w:szCs w:val="22"/>
              </w:rPr>
            </w:pPr>
            <w:r w:rsidRPr="009622A0">
              <w:rPr>
                <w:sz w:val="22"/>
                <w:szCs w:val="22"/>
              </w:rPr>
              <w:t xml:space="preserve">The road through Fen Ditton and High Ditch Road are not fit for purpose to support this many </w:t>
            </w:r>
            <w:r w:rsidRPr="009622A0">
              <w:rPr>
                <w:sz w:val="22"/>
                <w:szCs w:val="22"/>
              </w:rPr>
              <w:t xml:space="preserve">new </w:t>
            </w:r>
            <w:r w:rsidRPr="009622A0">
              <w:rPr>
                <w:sz w:val="22"/>
                <w:szCs w:val="22"/>
              </w:rPr>
              <w:t>dwellings.</w:t>
            </w:r>
          </w:p>
          <w:p w14:paraId="7ABC7C03" w14:textId="77777777" w:rsidR="009622A0" w:rsidRPr="009622A0" w:rsidRDefault="009622A0" w:rsidP="009622A0">
            <w:pPr>
              <w:rPr>
                <w:sz w:val="22"/>
                <w:szCs w:val="22"/>
              </w:rPr>
            </w:pPr>
            <w:r w:rsidRPr="009622A0">
              <w:rPr>
                <w:sz w:val="22"/>
                <w:szCs w:val="22"/>
              </w:rPr>
              <w:t>The A14 is also unlikely to be able to cope with more commuter traffic.</w:t>
            </w:r>
          </w:p>
          <w:p w14:paraId="5ABE03F0" w14:textId="6ABB0013" w:rsidR="009622A0" w:rsidRPr="009622A0" w:rsidRDefault="009622A0" w:rsidP="009622A0">
            <w:pPr>
              <w:rPr>
                <w:sz w:val="22"/>
                <w:szCs w:val="22"/>
              </w:rPr>
            </w:pPr>
            <w:r w:rsidRPr="009622A0">
              <w:rPr>
                <w:sz w:val="22"/>
                <w:szCs w:val="22"/>
              </w:rPr>
              <w:t>There is already significant development in the area (Marleigh)</w:t>
            </w:r>
            <w:r w:rsidRPr="009622A0">
              <w:rPr>
                <w:sz w:val="22"/>
                <w:szCs w:val="22"/>
              </w:rPr>
              <w:t xml:space="preserve"> and any further development</w:t>
            </w:r>
            <w:r w:rsidRPr="009622A0">
              <w:rPr>
                <w:sz w:val="22"/>
                <w:szCs w:val="22"/>
              </w:rPr>
              <w:t xml:space="preserve"> will have </w:t>
            </w:r>
            <w:r w:rsidRPr="009622A0">
              <w:rPr>
                <w:sz w:val="22"/>
                <w:szCs w:val="22"/>
              </w:rPr>
              <w:t>a</w:t>
            </w:r>
            <w:r w:rsidRPr="009622A0">
              <w:rPr>
                <w:sz w:val="22"/>
                <w:szCs w:val="22"/>
              </w:rPr>
              <w:t xml:space="preserve"> significant impact on the quality of life in Horningsea and Fen Ditton.</w:t>
            </w:r>
          </w:p>
          <w:p w14:paraId="01258FFA" w14:textId="77777777" w:rsidR="009622A0" w:rsidRDefault="009622A0" w:rsidP="005841F2">
            <w:pPr>
              <w:rPr>
                <w:b/>
                <w:bCs/>
                <w:sz w:val="22"/>
                <w:szCs w:val="22"/>
              </w:rPr>
            </w:pPr>
          </w:p>
          <w:p w14:paraId="3DCF1E9D" w14:textId="77777777" w:rsidR="009622A0" w:rsidRDefault="009622A0" w:rsidP="005841F2">
            <w:pPr>
              <w:rPr>
                <w:b/>
                <w:bCs/>
                <w:sz w:val="22"/>
                <w:szCs w:val="22"/>
              </w:rPr>
            </w:pPr>
          </w:p>
          <w:p w14:paraId="07E05682" w14:textId="19110A91" w:rsidR="009622A0" w:rsidRPr="009622A0" w:rsidRDefault="009622A0" w:rsidP="005841F2">
            <w:pPr>
              <w:rPr>
                <w:b/>
                <w:bCs/>
                <w:sz w:val="22"/>
                <w:szCs w:val="22"/>
              </w:rPr>
            </w:pP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5EDCA3BF" w:rsidR="00C33E09" w:rsidRPr="00AF706D" w:rsidRDefault="008F0345" w:rsidP="0022033F">
            <w:pPr>
              <w:rPr>
                <w:rFonts w:ascii="Book Antiqua" w:hAnsi="Book Antiqua"/>
                <w:sz w:val="20"/>
                <w:szCs w:val="20"/>
              </w:rPr>
            </w:pPr>
            <w:r>
              <w:rPr>
                <w:rFonts w:ascii="Book Antiqua" w:hAnsi="Book Antiqua"/>
                <w:sz w:val="20"/>
                <w:szCs w:val="20"/>
              </w:rPr>
              <w:t>94/20-21</w:t>
            </w:r>
          </w:p>
        </w:tc>
        <w:tc>
          <w:tcPr>
            <w:tcW w:w="6079" w:type="dxa"/>
          </w:tcPr>
          <w:p w14:paraId="011BCF9D" w14:textId="77777777" w:rsidR="00B1711F" w:rsidRPr="008F0345" w:rsidRDefault="008F0345" w:rsidP="009E6EBE">
            <w:pPr>
              <w:rPr>
                <w:b/>
                <w:bCs/>
                <w:sz w:val="22"/>
                <w:szCs w:val="22"/>
              </w:rPr>
            </w:pPr>
            <w:r w:rsidRPr="008F0345">
              <w:rPr>
                <w:b/>
                <w:bCs/>
                <w:sz w:val="22"/>
                <w:szCs w:val="22"/>
              </w:rPr>
              <w:t>Speed data</w:t>
            </w:r>
          </w:p>
          <w:p w14:paraId="308B00E2" w14:textId="77777777" w:rsidR="008F0345" w:rsidRDefault="008F0345" w:rsidP="009E6EBE">
            <w:pPr>
              <w:rPr>
                <w:sz w:val="22"/>
                <w:szCs w:val="22"/>
              </w:rPr>
            </w:pPr>
          </w:p>
          <w:p w14:paraId="0DAC3168" w14:textId="1FCEA96D" w:rsidR="008F0345" w:rsidRPr="008F0345" w:rsidRDefault="008F0345" w:rsidP="008F0345">
            <w:pPr>
              <w:widowControl w:val="0"/>
              <w:overflowPunct w:val="0"/>
              <w:autoSpaceDE w:val="0"/>
              <w:autoSpaceDN w:val="0"/>
              <w:adjustRightInd w:val="0"/>
              <w:spacing w:line="260" w:lineRule="exact"/>
              <w:textAlignment w:val="baseline"/>
              <w:rPr>
                <w:sz w:val="22"/>
                <w:szCs w:val="22"/>
              </w:rPr>
            </w:pPr>
            <w:r w:rsidRPr="008F0345">
              <w:rPr>
                <w:sz w:val="22"/>
                <w:szCs w:val="22"/>
              </w:rPr>
              <w:t>To use the highways speed analysis</w:t>
            </w:r>
            <w:r>
              <w:rPr>
                <w:sz w:val="22"/>
                <w:szCs w:val="22"/>
              </w:rPr>
              <w:t xml:space="preserve"> unit</w:t>
            </w:r>
            <w:r w:rsidRPr="008F0345">
              <w:rPr>
                <w:sz w:val="22"/>
                <w:szCs w:val="22"/>
              </w:rPr>
              <w:t xml:space="preserve"> would cost £350 for one unit and £100 for subsequent units. This would also provide the analysis. This version of monitoring would give the speed in two directions. It would also tell us the types of vehicles.</w:t>
            </w:r>
          </w:p>
          <w:p w14:paraId="21F01775" w14:textId="10633FFE" w:rsidR="008F0345" w:rsidRPr="008F0345" w:rsidRDefault="008F0345" w:rsidP="008F0345">
            <w:pPr>
              <w:widowControl w:val="0"/>
              <w:overflowPunct w:val="0"/>
              <w:autoSpaceDE w:val="0"/>
              <w:autoSpaceDN w:val="0"/>
              <w:adjustRightInd w:val="0"/>
              <w:spacing w:line="260" w:lineRule="exact"/>
              <w:textAlignment w:val="baseline"/>
              <w:rPr>
                <w:sz w:val="22"/>
                <w:szCs w:val="22"/>
              </w:rPr>
            </w:pPr>
            <w:r w:rsidRPr="008F0345">
              <w:rPr>
                <w:sz w:val="22"/>
                <w:szCs w:val="22"/>
              </w:rPr>
              <w:t>The PC believes that this does not add enough extra data to what we already know from the MVAS</w:t>
            </w:r>
            <w:r w:rsidRPr="008F0345">
              <w:rPr>
                <w:sz w:val="22"/>
                <w:szCs w:val="22"/>
              </w:rPr>
              <w:t xml:space="preserve"> to justify the cost</w:t>
            </w:r>
            <w:r w:rsidRPr="008F0345">
              <w:rPr>
                <w:sz w:val="22"/>
                <w:szCs w:val="22"/>
              </w:rPr>
              <w:t>.</w:t>
            </w:r>
          </w:p>
          <w:p w14:paraId="12C0B195" w14:textId="5595C323" w:rsidR="008F0345" w:rsidRPr="008F0345" w:rsidRDefault="008F0345" w:rsidP="008F0345">
            <w:pPr>
              <w:widowControl w:val="0"/>
              <w:overflowPunct w:val="0"/>
              <w:autoSpaceDE w:val="0"/>
              <w:autoSpaceDN w:val="0"/>
              <w:adjustRightInd w:val="0"/>
              <w:spacing w:line="260" w:lineRule="exact"/>
              <w:textAlignment w:val="baseline"/>
              <w:rPr>
                <w:sz w:val="22"/>
                <w:szCs w:val="22"/>
              </w:rPr>
            </w:pPr>
            <w:r w:rsidRPr="008F0345">
              <w:rPr>
                <w:b/>
                <w:bCs/>
                <w:sz w:val="22"/>
                <w:szCs w:val="22"/>
              </w:rPr>
              <w:t>JK</w:t>
            </w:r>
            <w:r w:rsidRPr="008F0345">
              <w:rPr>
                <w:sz w:val="22"/>
                <w:szCs w:val="22"/>
              </w:rPr>
              <w:t>: Propose</w:t>
            </w:r>
            <w:r w:rsidRPr="008F0345">
              <w:rPr>
                <w:sz w:val="22"/>
                <w:szCs w:val="22"/>
              </w:rPr>
              <w:t>d</w:t>
            </w:r>
            <w:r w:rsidRPr="008F0345">
              <w:rPr>
                <w:sz w:val="22"/>
                <w:szCs w:val="22"/>
              </w:rPr>
              <w:t xml:space="preserve"> that we do not use this option and use the data </w:t>
            </w:r>
            <w:r>
              <w:rPr>
                <w:sz w:val="22"/>
                <w:szCs w:val="22"/>
              </w:rPr>
              <w:t>from</w:t>
            </w:r>
            <w:r w:rsidRPr="008F0345">
              <w:rPr>
                <w:sz w:val="22"/>
                <w:szCs w:val="22"/>
              </w:rPr>
              <w:t xml:space="preserve"> our MVAS.</w:t>
            </w:r>
          </w:p>
          <w:p w14:paraId="08A9E5CF" w14:textId="05695EF3" w:rsidR="008F0345" w:rsidRPr="00AF706D" w:rsidRDefault="008F0345" w:rsidP="008F0345">
            <w:pPr>
              <w:rPr>
                <w:sz w:val="22"/>
                <w:szCs w:val="22"/>
              </w:rPr>
            </w:pPr>
            <w:r w:rsidRPr="008F0345">
              <w:rPr>
                <w:b/>
                <w:bCs/>
                <w:sz w:val="22"/>
                <w:szCs w:val="22"/>
              </w:rPr>
              <w:t>EW</w:t>
            </w:r>
            <w:r w:rsidRPr="008F0345">
              <w:rPr>
                <w:sz w:val="22"/>
                <w:szCs w:val="22"/>
              </w:rPr>
              <w:t>: seconded.</w:t>
            </w:r>
          </w:p>
        </w:tc>
        <w:tc>
          <w:tcPr>
            <w:tcW w:w="1440" w:type="dxa"/>
          </w:tcPr>
          <w:p w14:paraId="78E1FCDA" w14:textId="3DEDF133" w:rsidR="00235AEE" w:rsidRPr="00AF706D" w:rsidRDefault="00235AEE" w:rsidP="005710AB">
            <w:pPr>
              <w:rPr>
                <w:sz w:val="22"/>
                <w:szCs w:val="22"/>
              </w:rPr>
            </w:pPr>
          </w:p>
        </w:tc>
      </w:tr>
      <w:tr w:rsidR="00AF706D" w:rsidRPr="00AF706D" w14:paraId="0AC1189E" w14:textId="77777777" w:rsidTr="002B5FF1">
        <w:tc>
          <w:tcPr>
            <w:tcW w:w="1240" w:type="dxa"/>
          </w:tcPr>
          <w:p w14:paraId="28B4D69A" w14:textId="1F7B5E0D" w:rsidR="00B71FEB" w:rsidRPr="00AF706D" w:rsidRDefault="00611FD6" w:rsidP="009E7894">
            <w:pPr>
              <w:rPr>
                <w:rFonts w:ascii="Book Antiqua" w:hAnsi="Book Antiqua"/>
                <w:sz w:val="20"/>
                <w:szCs w:val="20"/>
              </w:rPr>
            </w:pPr>
            <w:r>
              <w:rPr>
                <w:rFonts w:ascii="Book Antiqua" w:hAnsi="Book Antiqua"/>
                <w:sz w:val="20"/>
                <w:szCs w:val="20"/>
              </w:rPr>
              <w:t>9</w:t>
            </w:r>
            <w:r w:rsidR="008F0345">
              <w:rPr>
                <w:rFonts w:ascii="Book Antiqua" w:hAnsi="Book Antiqua"/>
                <w:sz w:val="20"/>
                <w:szCs w:val="20"/>
              </w:rPr>
              <w:t>5</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2E659888" w:rsidR="00FD4065" w:rsidRDefault="00FD4065" w:rsidP="00B71FEB">
            <w:pPr>
              <w:widowControl w:val="0"/>
              <w:overflowPunct w:val="0"/>
              <w:autoSpaceDE w:val="0"/>
              <w:autoSpaceDN w:val="0"/>
              <w:adjustRightInd w:val="0"/>
              <w:spacing w:line="260" w:lineRule="exact"/>
              <w:textAlignment w:val="baseline"/>
              <w:rPr>
                <w:b/>
                <w:sz w:val="22"/>
                <w:szCs w:val="22"/>
              </w:rPr>
            </w:pPr>
          </w:p>
          <w:p w14:paraId="74FF7E52" w14:textId="77777777" w:rsidR="008F0345" w:rsidRPr="008F0345" w:rsidRDefault="008F0345" w:rsidP="008F0345">
            <w:pPr>
              <w:widowControl w:val="0"/>
              <w:overflowPunct w:val="0"/>
              <w:autoSpaceDE w:val="0"/>
              <w:autoSpaceDN w:val="0"/>
              <w:adjustRightInd w:val="0"/>
              <w:spacing w:line="260" w:lineRule="exact"/>
              <w:textAlignment w:val="baseline"/>
              <w:rPr>
                <w:b/>
                <w:sz w:val="22"/>
                <w:szCs w:val="22"/>
              </w:rPr>
            </w:pPr>
          </w:p>
          <w:p w14:paraId="089DF326" w14:textId="4B0107A7" w:rsidR="008F0345" w:rsidRPr="008F0345" w:rsidRDefault="008F0345" w:rsidP="008F0345">
            <w:pPr>
              <w:widowControl w:val="0"/>
              <w:overflowPunct w:val="0"/>
              <w:autoSpaceDE w:val="0"/>
              <w:autoSpaceDN w:val="0"/>
              <w:adjustRightInd w:val="0"/>
              <w:spacing w:line="260" w:lineRule="exact"/>
              <w:textAlignment w:val="baseline"/>
              <w:rPr>
                <w:bCs/>
                <w:sz w:val="22"/>
                <w:szCs w:val="22"/>
              </w:rPr>
            </w:pPr>
            <w:r w:rsidRPr="008F0345">
              <w:rPr>
                <w:bCs/>
                <w:sz w:val="22"/>
                <w:szCs w:val="22"/>
              </w:rPr>
              <w:t xml:space="preserve">HRA (£1,000) and HVHT (£400 - tentative) are putting up the budget for the new fence. </w:t>
            </w:r>
            <w:r w:rsidRPr="008F0345">
              <w:rPr>
                <w:bCs/>
                <w:sz w:val="22"/>
                <w:szCs w:val="22"/>
              </w:rPr>
              <w:t>To</w:t>
            </w:r>
            <w:r w:rsidRPr="008F0345">
              <w:rPr>
                <w:bCs/>
                <w:sz w:val="22"/>
                <w:szCs w:val="22"/>
              </w:rPr>
              <w:t xml:space="preserve"> discuss whether we can own and manage the fence because it is the responsibility of the lease </w:t>
            </w:r>
            <w:r w:rsidRPr="008F0345">
              <w:rPr>
                <w:bCs/>
                <w:sz w:val="22"/>
                <w:szCs w:val="22"/>
              </w:rPr>
              <w:lastRenderedPageBreak/>
              <w:t>holder.</w:t>
            </w:r>
          </w:p>
          <w:p w14:paraId="6D6373E0" w14:textId="77777777" w:rsidR="008F0345" w:rsidRPr="008F0345" w:rsidRDefault="008F0345" w:rsidP="008F0345">
            <w:pPr>
              <w:widowControl w:val="0"/>
              <w:overflowPunct w:val="0"/>
              <w:autoSpaceDE w:val="0"/>
              <w:autoSpaceDN w:val="0"/>
              <w:adjustRightInd w:val="0"/>
              <w:spacing w:line="260" w:lineRule="exact"/>
              <w:textAlignment w:val="baseline"/>
              <w:rPr>
                <w:bCs/>
                <w:sz w:val="22"/>
                <w:szCs w:val="22"/>
              </w:rPr>
            </w:pPr>
          </w:p>
          <w:p w14:paraId="58602123" w14:textId="49F5950A" w:rsidR="008F0345" w:rsidRPr="008F0345" w:rsidRDefault="008F0345" w:rsidP="008F0345">
            <w:pPr>
              <w:widowControl w:val="0"/>
              <w:overflowPunct w:val="0"/>
              <w:autoSpaceDE w:val="0"/>
              <w:autoSpaceDN w:val="0"/>
              <w:adjustRightInd w:val="0"/>
              <w:spacing w:line="260" w:lineRule="exact"/>
              <w:textAlignment w:val="baseline"/>
              <w:rPr>
                <w:bCs/>
                <w:sz w:val="22"/>
                <w:szCs w:val="22"/>
              </w:rPr>
            </w:pPr>
            <w:r w:rsidRPr="008F0345">
              <w:rPr>
                <w:bCs/>
                <w:sz w:val="22"/>
                <w:szCs w:val="22"/>
              </w:rPr>
              <w:t>On March 24 there will be a Community East Forum meeting. This includes all sites in the ward. The PC clerk should expect an invitation to attend.</w:t>
            </w:r>
          </w:p>
          <w:p w14:paraId="7AE43146" w14:textId="77777777" w:rsidR="008F0345" w:rsidRPr="008F0345" w:rsidRDefault="008F0345" w:rsidP="008F0345">
            <w:pPr>
              <w:widowControl w:val="0"/>
              <w:overflowPunct w:val="0"/>
              <w:autoSpaceDE w:val="0"/>
              <w:autoSpaceDN w:val="0"/>
              <w:adjustRightInd w:val="0"/>
              <w:spacing w:line="260" w:lineRule="exact"/>
              <w:textAlignment w:val="baseline"/>
              <w:rPr>
                <w:bCs/>
                <w:sz w:val="22"/>
                <w:szCs w:val="22"/>
              </w:rPr>
            </w:pPr>
          </w:p>
          <w:p w14:paraId="0A996576" w14:textId="1F434A69" w:rsidR="008F0345" w:rsidRPr="008F0345" w:rsidRDefault="008F0345" w:rsidP="008F0345">
            <w:pPr>
              <w:widowControl w:val="0"/>
              <w:overflowPunct w:val="0"/>
              <w:autoSpaceDE w:val="0"/>
              <w:autoSpaceDN w:val="0"/>
              <w:adjustRightInd w:val="0"/>
              <w:spacing w:line="260" w:lineRule="exact"/>
              <w:textAlignment w:val="baseline"/>
              <w:rPr>
                <w:bCs/>
                <w:sz w:val="22"/>
                <w:szCs w:val="22"/>
              </w:rPr>
            </w:pPr>
            <w:r w:rsidRPr="008F0345">
              <w:rPr>
                <w:bCs/>
                <w:sz w:val="22"/>
                <w:szCs w:val="22"/>
              </w:rPr>
              <w:t>Meeting close: 21:15</w:t>
            </w:r>
          </w:p>
          <w:p w14:paraId="533A219C" w14:textId="039CC0FB" w:rsidR="00D21AA2" w:rsidRPr="008F0345" w:rsidRDefault="00D21AA2" w:rsidP="00B71FEB">
            <w:pPr>
              <w:widowControl w:val="0"/>
              <w:overflowPunct w:val="0"/>
              <w:autoSpaceDE w:val="0"/>
              <w:autoSpaceDN w:val="0"/>
              <w:adjustRightInd w:val="0"/>
              <w:spacing w:line="260" w:lineRule="exact"/>
              <w:textAlignment w:val="baseline"/>
              <w:rPr>
                <w:bCs/>
                <w:sz w:val="22"/>
                <w:szCs w:val="22"/>
              </w:rPr>
            </w:pPr>
          </w:p>
          <w:p w14:paraId="67A20EB7" w14:textId="4F1B6CBA" w:rsidR="00131F58" w:rsidRPr="008F0345" w:rsidRDefault="00131F58" w:rsidP="00B71FEB">
            <w:pPr>
              <w:widowControl w:val="0"/>
              <w:overflowPunct w:val="0"/>
              <w:autoSpaceDE w:val="0"/>
              <w:autoSpaceDN w:val="0"/>
              <w:adjustRightInd w:val="0"/>
              <w:spacing w:line="260" w:lineRule="exact"/>
              <w:textAlignment w:val="baseline"/>
              <w:rPr>
                <w:bCs/>
                <w:sz w:val="22"/>
                <w:szCs w:val="22"/>
              </w:rPr>
            </w:pPr>
          </w:p>
          <w:p w14:paraId="3C998C51" w14:textId="4FD4B661"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Meeting to be held Wednesday</w:t>
            </w:r>
            <w:r w:rsidR="009E7894">
              <w:rPr>
                <w:b/>
                <w:sz w:val="22"/>
                <w:szCs w:val="22"/>
              </w:rPr>
              <w:t xml:space="preserve"> </w:t>
            </w:r>
            <w:r w:rsidR="008F0345">
              <w:rPr>
                <w:b/>
                <w:sz w:val="22"/>
                <w:szCs w:val="22"/>
              </w:rPr>
              <w:t>24</w:t>
            </w:r>
            <w:r w:rsidR="008F0345" w:rsidRPr="008F0345">
              <w:rPr>
                <w:b/>
                <w:sz w:val="22"/>
                <w:szCs w:val="22"/>
                <w:vertAlign w:val="superscript"/>
              </w:rPr>
              <w:t>th</w:t>
            </w:r>
            <w:r w:rsidR="008F0345">
              <w:rPr>
                <w:b/>
                <w:sz w:val="22"/>
                <w:szCs w:val="22"/>
              </w:rPr>
              <w:t xml:space="preserve"> March</w:t>
            </w:r>
            <w:r w:rsidR="00663C22">
              <w:rPr>
                <w:b/>
                <w:sz w:val="22"/>
                <w:szCs w:val="22"/>
              </w:rPr>
              <w:t xml:space="preserve"> </w:t>
            </w:r>
            <w:r>
              <w:rPr>
                <w:b/>
                <w:sz w:val="22"/>
                <w:szCs w:val="22"/>
              </w:rPr>
              <w:t>at 7.30pm via Zoom call</w:t>
            </w:r>
            <w:r w:rsidR="00611FD6">
              <w:rPr>
                <w:b/>
                <w:sz w:val="22"/>
                <w:szCs w:val="22"/>
              </w:rPr>
              <w:t xml:space="preserve"> </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33C0678F"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611FD6">
              <w:rPr>
                <w:b/>
                <w:sz w:val="22"/>
                <w:szCs w:val="22"/>
              </w:rPr>
              <w:t>2</w:t>
            </w:r>
            <w:r w:rsidR="00663C22">
              <w:rPr>
                <w:b/>
                <w:sz w:val="22"/>
                <w:szCs w:val="22"/>
              </w:rPr>
              <w:t>:</w:t>
            </w:r>
            <w:r w:rsidR="006576E8">
              <w:rPr>
                <w:b/>
                <w:sz w:val="22"/>
                <w:szCs w:val="22"/>
              </w:rPr>
              <w:t>10</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54D7" w14:textId="77777777" w:rsidR="002C7CA9" w:rsidRDefault="002C7CA9" w:rsidP="00676A77">
      <w:r>
        <w:separator/>
      </w:r>
    </w:p>
  </w:endnote>
  <w:endnote w:type="continuationSeparator" w:id="0">
    <w:p w14:paraId="2C8152B6" w14:textId="77777777" w:rsidR="002C7CA9" w:rsidRDefault="002C7CA9"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A47226" w:rsidRPr="002165B0" w:rsidRDefault="00A47226"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A47226" w:rsidRPr="002165B0" w:rsidRDefault="00A47226"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A47226" w:rsidRPr="002165B0" w:rsidRDefault="002C7CA9" w:rsidP="00740EB0">
    <w:pPr>
      <w:jc w:val="center"/>
      <w:rPr>
        <w:rFonts w:ascii="Book Antiqua" w:hAnsi="Book Antiqua"/>
        <w:sz w:val="18"/>
        <w:szCs w:val="18"/>
      </w:rPr>
    </w:pPr>
    <w:hyperlink r:id="rId1" w:history="1">
      <w:r w:rsidR="00A47226" w:rsidRPr="002165B0">
        <w:rPr>
          <w:rStyle w:val="Hyperlink"/>
          <w:rFonts w:ascii="Book Antiqua" w:hAnsi="Book Antiqua"/>
          <w:sz w:val="18"/>
          <w:szCs w:val="18"/>
        </w:rPr>
        <w:t>clerk@horningsea.net</w:t>
      </w:r>
    </w:hyperlink>
    <w:r w:rsidR="00A47226" w:rsidRPr="002165B0">
      <w:rPr>
        <w:rFonts w:ascii="Book Antiqua" w:hAnsi="Book Antiqua"/>
        <w:sz w:val="18"/>
        <w:szCs w:val="18"/>
      </w:rPr>
      <w:t xml:space="preserve"> </w:t>
    </w:r>
  </w:p>
  <w:p w14:paraId="79BC0CC1" w14:textId="77777777" w:rsidR="00A47226" w:rsidRDefault="00A47226" w:rsidP="00676A77">
    <w:pPr>
      <w:jc w:val="center"/>
    </w:pPr>
  </w:p>
  <w:p w14:paraId="3E423A28" w14:textId="77777777" w:rsidR="00A47226" w:rsidRDefault="00A47226" w:rsidP="00676A77">
    <w:pPr>
      <w:jc w:val="center"/>
    </w:pPr>
  </w:p>
  <w:p w14:paraId="0DBDD5B2" w14:textId="77777777" w:rsidR="00A47226" w:rsidRPr="00676A77" w:rsidRDefault="00A47226"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B10D0" w14:textId="77777777" w:rsidR="002C7CA9" w:rsidRDefault="002C7CA9" w:rsidP="00676A77">
      <w:r>
        <w:separator/>
      </w:r>
    </w:p>
  </w:footnote>
  <w:footnote w:type="continuationSeparator" w:id="0">
    <w:p w14:paraId="16A77CBC" w14:textId="77777777" w:rsidR="002C7CA9" w:rsidRDefault="002C7CA9"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A47226" w:rsidRPr="003F35EE" w:rsidRDefault="00A47226"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A47226" w:rsidRPr="003F35EE" w:rsidRDefault="00A47226"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F95BC3"/>
    <w:multiLevelType w:val="hybridMultilevel"/>
    <w:tmpl w:val="5100F75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9"/>
  </w:num>
  <w:num w:numId="8">
    <w:abstractNumId w:val="11"/>
  </w:num>
  <w:num w:numId="9">
    <w:abstractNumId w:val="2"/>
  </w:num>
  <w:num w:numId="10">
    <w:abstractNumId w:val="10"/>
  </w:num>
  <w:num w:numId="11">
    <w:abstractNumId w:val="3"/>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A5A15"/>
    <w:rsid w:val="000B3738"/>
    <w:rsid w:val="000B3A9A"/>
    <w:rsid w:val="000B54D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847FD"/>
    <w:rsid w:val="001909B5"/>
    <w:rsid w:val="0019472C"/>
    <w:rsid w:val="00196866"/>
    <w:rsid w:val="001A0BAF"/>
    <w:rsid w:val="001B0510"/>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515BC"/>
    <w:rsid w:val="00265079"/>
    <w:rsid w:val="002714CC"/>
    <w:rsid w:val="002835C4"/>
    <w:rsid w:val="00294003"/>
    <w:rsid w:val="002A435D"/>
    <w:rsid w:val="002B09B7"/>
    <w:rsid w:val="002B5FF1"/>
    <w:rsid w:val="002C114A"/>
    <w:rsid w:val="002C37AA"/>
    <w:rsid w:val="002C7CA9"/>
    <w:rsid w:val="002D138C"/>
    <w:rsid w:val="002E0E71"/>
    <w:rsid w:val="002E515E"/>
    <w:rsid w:val="002E6498"/>
    <w:rsid w:val="002F1E86"/>
    <w:rsid w:val="002F32F0"/>
    <w:rsid w:val="002F72E6"/>
    <w:rsid w:val="002F797F"/>
    <w:rsid w:val="00307153"/>
    <w:rsid w:val="0031160C"/>
    <w:rsid w:val="003367F7"/>
    <w:rsid w:val="00346586"/>
    <w:rsid w:val="00351D2D"/>
    <w:rsid w:val="0036206F"/>
    <w:rsid w:val="00377C2A"/>
    <w:rsid w:val="003838B2"/>
    <w:rsid w:val="003841DC"/>
    <w:rsid w:val="00386535"/>
    <w:rsid w:val="00396DEA"/>
    <w:rsid w:val="003A4882"/>
    <w:rsid w:val="003A6082"/>
    <w:rsid w:val="003B5A35"/>
    <w:rsid w:val="003C0BEB"/>
    <w:rsid w:val="003C0BEC"/>
    <w:rsid w:val="003C1F5C"/>
    <w:rsid w:val="003C6B02"/>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05FFB"/>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34C75"/>
    <w:rsid w:val="00540872"/>
    <w:rsid w:val="00547999"/>
    <w:rsid w:val="0055618C"/>
    <w:rsid w:val="005603AB"/>
    <w:rsid w:val="00561DEF"/>
    <w:rsid w:val="00565969"/>
    <w:rsid w:val="0056631F"/>
    <w:rsid w:val="005709E6"/>
    <w:rsid w:val="005710AB"/>
    <w:rsid w:val="005841F2"/>
    <w:rsid w:val="005942E6"/>
    <w:rsid w:val="005A33B0"/>
    <w:rsid w:val="005A3DDD"/>
    <w:rsid w:val="005A5E30"/>
    <w:rsid w:val="005B3205"/>
    <w:rsid w:val="005C5553"/>
    <w:rsid w:val="005D2D89"/>
    <w:rsid w:val="005D750B"/>
    <w:rsid w:val="005E76CA"/>
    <w:rsid w:val="005F0286"/>
    <w:rsid w:val="005F19DD"/>
    <w:rsid w:val="005F59A3"/>
    <w:rsid w:val="00611FD6"/>
    <w:rsid w:val="006138B1"/>
    <w:rsid w:val="006218AB"/>
    <w:rsid w:val="00630039"/>
    <w:rsid w:val="00631757"/>
    <w:rsid w:val="0063374A"/>
    <w:rsid w:val="00634331"/>
    <w:rsid w:val="00641A43"/>
    <w:rsid w:val="00644871"/>
    <w:rsid w:val="00650C95"/>
    <w:rsid w:val="00653105"/>
    <w:rsid w:val="006576E8"/>
    <w:rsid w:val="00660C0A"/>
    <w:rsid w:val="00663C22"/>
    <w:rsid w:val="006643E3"/>
    <w:rsid w:val="00676A77"/>
    <w:rsid w:val="00676F25"/>
    <w:rsid w:val="0067758E"/>
    <w:rsid w:val="006915E6"/>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772EA"/>
    <w:rsid w:val="007841E1"/>
    <w:rsid w:val="007902AB"/>
    <w:rsid w:val="00790C05"/>
    <w:rsid w:val="007957BB"/>
    <w:rsid w:val="007966A2"/>
    <w:rsid w:val="007A0F48"/>
    <w:rsid w:val="007A2038"/>
    <w:rsid w:val="007A7953"/>
    <w:rsid w:val="007B0927"/>
    <w:rsid w:val="007B291E"/>
    <w:rsid w:val="007D65C9"/>
    <w:rsid w:val="007D6FF7"/>
    <w:rsid w:val="007D715E"/>
    <w:rsid w:val="007E0BC6"/>
    <w:rsid w:val="007E1B4D"/>
    <w:rsid w:val="007F01D7"/>
    <w:rsid w:val="00805268"/>
    <w:rsid w:val="00806CBF"/>
    <w:rsid w:val="008128A4"/>
    <w:rsid w:val="008175D5"/>
    <w:rsid w:val="00817DBB"/>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0345"/>
    <w:rsid w:val="008F184C"/>
    <w:rsid w:val="00914995"/>
    <w:rsid w:val="00914D51"/>
    <w:rsid w:val="00915300"/>
    <w:rsid w:val="009208D3"/>
    <w:rsid w:val="00922C5A"/>
    <w:rsid w:val="00922ECC"/>
    <w:rsid w:val="00925479"/>
    <w:rsid w:val="00926166"/>
    <w:rsid w:val="00946441"/>
    <w:rsid w:val="00954730"/>
    <w:rsid w:val="009622A0"/>
    <w:rsid w:val="00967DFF"/>
    <w:rsid w:val="00973AE8"/>
    <w:rsid w:val="00975506"/>
    <w:rsid w:val="00987666"/>
    <w:rsid w:val="00991BE1"/>
    <w:rsid w:val="009A35B5"/>
    <w:rsid w:val="009A695E"/>
    <w:rsid w:val="009B1B6F"/>
    <w:rsid w:val="009C1778"/>
    <w:rsid w:val="009C33DF"/>
    <w:rsid w:val="009C3D7F"/>
    <w:rsid w:val="009D3B33"/>
    <w:rsid w:val="009D5C16"/>
    <w:rsid w:val="009E6EBE"/>
    <w:rsid w:val="009E7894"/>
    <w:rsid w:val="009F3663"/>
    <w:rsid w:val="009F4E19"/>
    <w:rsid w:val="00A0665B"/>
    <w:rsid w:val="00A10BD0"/>
    <w:rsid w:val="00A1455D"/>
    <w:rsid w:val="00A23E69"/>
    <w:rsid w:val="00A30AEC"/>
    <w:rsid w:val="00A412B4"/>
    <w:rsid w:val="00A41FCC"/>
    <w:rsid w:val="00A43472"/>
    <w:rsid w:val="00A44D5B"/>
    <w:rsid w:val="00A45475"/>
    <w:rsid w:val="00A45A57"/>
    <w:rsid w:val="00A47226"/>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08C1"/>
    <w:rsid w:val="00AB3645"/>
    <w:rsid w:val="00AB45DC"/>
    <w:rsid w:val="00AD1035"/>
    <w:rsid w:val="00AD29BA"/>
    <w:rsid w:val="00AE1172"/>
    <w:rsid w:val="00AE2A2E"/>
    <w:rsid w:val="00AF089A"/>
    <w:rsid w:val="00AF1A70"/>
    <w:rsid w:val="00AF706D"/>
    <w:rsid w:val="00B01F0D"/>
    <w:rsid w:val="00B05638"/>
    <w:rsid w:val="00B10009"/>
    <w:rsid w:val="00B11093"/>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8F5"/>
    <w:rsid w:val="00C32E15"/>
    <w:rsid w:val="00C33E09"/>
    <w:rsid w:val="00C341EF"/>
    <w:rsid w:val="00C35D98"/>
    <w:rsid w:val="00C62A8E"/>
    <w:rsid w:val="00C65DD8"/>
    <w:rsid w:val="00C67AD3"/>
    <w:rsid w:val="00C87C24"/>
    <w:rsid w:val="00C936B3"/>
    <w:rsid w:val="00CA29E7"/>
    <w:rsid w:val="00CA2FA0"/>
    <w:rsid w:val="00CB08AE"/>
    <w:rsid w:val="00CB673E"/>
    <w:rsid w:val="00CC1E95"/>
    <w:rsid w:val="00CC621F"/>
    <w:rsid w:val="00CD5023"/>
    <w:rsid w:val="00CF0110"/>
    <w:rsid w:val="00D0675D"/>
    <w:rsid w:val="00D06C96"/>
    <w:rsid w:val="00D10108"/>
    <w:rsid w:val="00D156D9"/>
    <w:rsid w:val="00D15CFC"/>
    <w:rsid w:val="00D21AA2"/>
    <w:rsid w:val="00D2743A"/>
    <w:rsid w:val="00D2747A"/>
    <w:rsid w:val="00D31AC6"/>
    <w:rsid w:val="00D44D46"/>
    <w:rsid w:val="00D45384"/>
    <w:rsid w:val="00D5295B"/>
    <w:rsid w:val="00D60374"/>
    <w:rsid w:val="00D61092"/>
    <w:rsid w:val="00D61B8B"/>
    <w:rsid w:val="00D62791"/>
    <w:rsid w:val="00D62E87"/>
    <w:rsid w:val="00D66C3C"/>
    <w:rsid w:val="00D71279"/>
    <w:rsid w:val="00D7688D"/>
    <w:rsid w:val="00D76C77"/>
    <w:rsid w:val="00D95A87"/>
    <w:rsid w:val="00D96BA1"/>
    <w:rsid w:val="00DB4A28"/>
    <w:rsid w:val="00DB54DF"/>
    <w:rsid w:val="00DB5824"/>
    <w:rsid w:val="00DC5545"/>
    <w:rsid w:val="00DC61AB"/>
    <w:rsid w:val="00DC636A"/>
    <w:rsid w:val="00DC6E50"/>
    <w:rsid w:val="00DD47F1"/>
    <w:rsid w:val="00DD7BB1"/>
    <w:rsid w:val="00DE4D18"/>
    <w:rsid w:val="00DF429F"/>
    <w:rsid w:val="00E00E0A"/>
    <w:rsid w:val="00E01E17"/>
    <w:rsid w:val="00E02BBF"/>
    <w:rsid w:val="00E03830"/>
    <w:rsid w:val="00E0644C"/>
    <w:rsid w:val="00E0796A"/>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15EAB"/>
    <w:rsid w:val="00F23BBE"/>
    <w:rsid w:val="00F276BE"/>
    <w:rsid w:val="00F27D08"/>
    <w:rsid w:val="00F30DD6"/>
    <w:rsid w:val="00F405CA"/>
    <w:rsid w:val="00F43E9F"/>
    <w:rsid w:val="00F4794C"/>
    <w:rsid w:val="00F64C16"/>
    <w:rsid w:val="00F72196"/>
    <w:rsid w:val="00F76B5A"/>
    <w:rsid w:val="00F8610A"/>
    <w:rsid w:val="00F91E12"/>
    <w:rsid w:val="00F9345C"/>
    <w:rsid w:val="00F938F9"/>
    <w:rsid w:val="00F94992"/>
    <w:rsid w:val="00FA1699"/>
    <w:rsid w:val="00FA319C"/>
    <w:rsid w:val="00FA4499"/>
    <w:rsid w:val="00FA5EE4"/>
    <w:rsid w:val="00FB4FC0"/>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384259996">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773745107">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00447031">
      <w:bodyDiv w:val="1"/>
      <w:marLeft w:val="0"/>
      <w:marRight w:val="0"/>
      <w:marTop w:val="0"/>
      <w:marBottom w:val="0"/>
      <w:divBdr>
        <w:top w:val="none" w:sz="0" w:space="0" w:color="auto"/>
        <w:left w:val="none" w:sz="0" w:space="0" w:color="auto"/>
        <w:bottom w:val="none" w:sz="0" w:space="0" w:color="auto"/>
        <w:right w:val="none" w:sz="0" w:space="0" w:color="auto"/>
      </w:divBdr>
    </w:div>
    <w:div w:id="1113742713">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456211425">
      <w:bodyDiv w:val="1"/>
      <w:marLeft w:val="0"/>
      <w:marRight w:val="0"/>
      <w:marTop w:val="0"/>
      <w:marBottom w:val="0"/>
      <w:divBdr>
        <w:top w:val="none" w:sz="0" w:space="0" w:color="auto"/>
        <w:left w:val="none" w:sz="0" w:space="0" w:color="auto"/>
        <w:bottom w:val="none" w:sz="0" w:space="0" w:color="auto"/>
        <w:right w:val="none" w:sz="0" w:space="0" w:color="auto"/>
      </w:divBdr>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13543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3</cp:revision>
  <cp:lastPrinted>2019-11-18T19:21:00Z</cp:lastPrinted>
  <dcterms:created xsi:type="dcterms:W3CDTF">2021-02-07T14:57:00Z</dcterms:created>
  <dcterms:modified xsi:type="dcterms:W3CDTF">2021-02-07T15:13:00Z</dcterms:modified>
</cp:coreProperties>
</file>